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4"/>
        <w:tblW w:w="10100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2253"/>
        <w:gridCol w:w="2355"/>
        <w:gridCol w:w="1800"/>
        <w:gridCol w:w="1620"/>
        <w:gridCol w:w="2072"/>
      </w:tblGrid>
      <w:tr w:rsidR="003274AF" w:rsidTr="00FC5FD9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solid" w:color="008080" w:fill="FFFFFF"/>
          </w:tcPr>
          <w:p w:rsidR="003274AF" w:rsidRPr="00611772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>
              <w:rPr>
                <w:rStyle w:val="A7"/>
                <w:rFonts w:cs="Knowledge Medium"/>
                <w:b/>
                <w:sz w:val="19"/>
                <w:szCs w:val="17"/>
              </w:rPr>
              <w:t>ENTIDAD FINANCIADORA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solid" w:color="008080" w:fill="FFFFFF"/>
          </w:tcPr>
          <w:p w:rsidR="003274AF" w:rsidRDefault="003274AF" w:rsidP="00870CF5">
            <w:pPr>
              <w:pStyle w:val="Pa0"/>
              <w:rPr>
                <w:rStyle w:val="A7"/>
                <w:rFonts w:cs="Knowledge Medium"/>
                <w:b/>
                <w:sz w:val="19"/>
                <w:szCs w:val="17"/>
              </w:rPr>
            </w:pPr>
            <w:r>
              <w:rPr>
                <w:rFonts w:cs="Knowledge Medium"/>
                <w:b/>
                <w:color w:val="000000"/>
                <w:sz w:val="19"/>
                <w:szCs w:val="17"/>
              </w:rPr>
              <w:t>CONVOCATORIA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solid" w:color="008080" w:fill="FFFFFF"/>
          </w:tcPr>
          <w:p w:rsidR="003274AF" w:rsidRDefault="003274AF" w:rsidP="00870CF5">
            <w:pPr>
              <w:pStyle w:val="Pa0"/>
              <w:rPr>
                <w:rStyle w:val="A7"/>
                <w:rFonts w:cs="Knowledge Medium"/>
                <w:b/>
                <w:sz w:val="19"/>
                <w:szCs w:val="17"/>
              </w:rPr>
            </w:pPr>
            <w:r>
              <w:rPr>
                <w:rStyle w:val="A7"/>
                <w:rFonts w:cs="Knowledge Medium"/>
                <w:b/>
                <w:sz w:val="19"/>
                <w:szCs w:val="17"/>
              </w:rPr>
              <w:t>FIN PLAZO PRESENTACIÓN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solid" w:color="008080" w:fill="FFFFFF"/>
          </w:tcPr>
          <w:p w:rsidR="003274AF" w:rsidRDefault="003274AF" w:rsidP="007A2446">
            <w:pPr>
              <w:pStyle w:val="Pa0"/>
              <w:jc w:val="center"/>
              <w:rPr>
                <w:rStyle w:val="A7"/>
                <w:rFonts w:cs="Knowledge Medium"/>
                <w:b/>
                <w:sz w:val="19"/>
                <w:szCs w:val="17"/>
              </w:rPr>
            </w:pPr>
            <w:r>
              <w:rPr>
                <w:rStyle w:val="A7"/>
                <w:rFonts w:cs="Knowledge Medium"/>
                <w:b/>
                <w:sz w:val="19"/>
                <w:szCs w:val="17"/>
              </w:rPr>
              <w:t>ENLACE</w:t>
            </w:r>
          </w:p>
        </w:tc>
        <w:tc>
          <w:tcPr>
            <w:tcW w:w="2072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  <w:shd w:val="solid" w:color="008080" w:fill="FFFFFF"/>
          </w:tcPr>
          <w:p w:rsidR="003274AF" w:rsidRDefault="003274AF" w:rsidP="00870CF5">
            <w:pPr>
              <w:pStyle w:val="Pa0"/>
              <w:rPr>
                <w:rStyle w:val="A7"/>
                <w:rFonts w:cs="Knowledge Medium"/>
                <w:b/>
                <w:sz w:val="19"/>
                <w:szCs w:val="17"/>
              </w:rPr>
            </w:pPr>
            <w:r>
              <w:rPr>
                <w:rStyle w:val="A7"/>
                <w:rFonts w:cs="Knowledge Medium"/>
                <w:b/>
                <w:sz w:val="19"/>
                <w:szCs w:val="17"/>
              </w:rPr>
              <w:t>OBSERVACIONES</w:t>
            </w:r>
          </w:p>
        </w:tc>
      </w:tr>
      <w:tr w:rsidR="003274AF" w:rsidTr="00BD4229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BD4229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BD4229">
              <w:rPr>
                <w:rFonts w:cs="Knowledge Medium"/>
                <w:bCs/>
                <w:color w:val="000000"/>
                <w:sz w:val="19"/>
                <w:szCs w:val="17"/>
              </w:rPr>
              <w:t>Sociedad Española de Enfermedades Infecciosas y Microbiología Clínica (SEIMC)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BD4229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BD4229">
              <w:rPr>
                <w:rFonts w:cs="Knowledge Medium"/>
                <w:bCs/>
                <w:color w:val="000000"/>
                <w:sz w:val="19"/>
                <w:szCs w:val="17"/>
              </w:rPr>
              <w:t>Beca "Agustí Pumarola"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BD4229" w:rsidRDefault="003274AF" w:rsidP="0057665F">
            <w:pPr>
              <w:pStyle w:val="Pa0"/>
              <w:jc w:val="center"/>
              <w:rPr>
                <w:rStyle w:val="A7"/>
                <w:rFonts w:cs="Knowledge Medium"/>
                <w:sz w:val="19"/>
                <w:szCs w:val="17"/>
              </w:rPr>
            </w:pPr>
            <w:r w:rsidRPr="00BD4229">
              <w:rPr>
                <w:rFonts w:cs="Knowledge Medium"/>
                <w:bCs/>
                <w:color w:val="000000"/>
                <w:sz w:val="19"/>
                <w:szCs w:val="17"/>
              </w:rPr>
              <w:t>09/09/2012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E75B86" w:rsidRDefault="003274AF" w:rsidP="00BD4229">
            <w:pPr>
              <w:pStyle w:val="Pa0"/>
              <w:jc w:val="center"/>
              <w:rPr>
                <w:rFonts w:cs="Knowledge Medium"/>
                <w:b/>
                <w:color w:val="7030A0"/>
                <w:sz w:val="19"/>
                <w:szCs w:val="17"/>
              </w:rPr>
            </w:pPr>
            <w:hyperlink r:id="rId5" w:tgtFrame="_blank" w:history="1">
              <w:r w:rsidRPr="00E75B86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  <w:p w:rsidR="003274AF" w:rsidRPr="00BD4229" w:rsidRDefault="003274AF" w:rsidP="00BD4229"/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FFFFFF" w:fill="FFFFFF"/>
          </w:tcPr>
          <w:p w:rsidR="003274AF" w:rsidRPr="00615538" w:rsidRDefault="003274AF" w:rsidP="00870CF5">
            <w:pPr>
              <w:pStyle w:val="Pa0"/>
              <w:rPr>
                <w:rStyle w:val="A7"/>
                <w:rFonts w:ascii="Arial" w:hAnsi="Arial" w:cs="Arial"/>
                <w:b/>
                <w:sz w:val="20"/>
                <w:szCs w:val="20"/>
              </w:rPr>
            </w:pPr>
            <w:r w:rsidRPr="00615538">
              <w:rPr>
                <w:rStyle w:val="A7"/>
                <w:rFonts w:ascii="Arial" w:hAnsi="Arial" w:cs="Arial"/>
                <w:sz w:val="20"/>
                <w:szCs w:val="20"/>
              </w:rPr>
              <w:t>Beca predoctoral</w:t>
            </w:r>
            <w:r w:rsidRPr="00615538">
              <w:rPr>
                <w:rStyle w:val="A7"/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274AF" w:rsidRPr="00740298" w:rsidRDefault="003274AF" w:rsidP="00740298">
            <w:r w:rsidRPr="00615538">
              <w:rPr>
                <w:rFonts w:ascii="Arial" w:hAnsi="Arial" w:cs="Arial"/>
                <w:sz w:val="20"/>
                <w:szCs w:val="20"/>
              </w:rPr>
              <w:t>Para realización tesis. Requiere ser socio de SEIMC</w:t>
            </w:r>
          </w:p>
        </w:tc>
      </w:tr>
      <w:tr w:rsidR="003274AF" w:rsidTr="00BD4229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D9D9D9" w:fill="FFFFFF"/>
          </w:tcPr>
          <w:p w:rsidR="003274AF" w:rsidRPr="0057665F" w:rsidRDefault="003274AF" w:rsidP="00870CF5">
            <w:pPr>
              <w:pStyle w:val="Pa0"/>
              <w:rPr>
                <w:rFonts w:cs="Knowledge Medium"/>
                <w:bCs/>
                <w:color w:val="000000"/>
                <w:sz w:val="19"/>
                <w:szCs w:val="17"/>
              </w:rPr>
            </w:pPr>
            <w:r w:rsidRPr="0057665F">
              <w:rPr>
                <w:rFonts w:cs="Knowledge Medium"/>
                <w:bCs/>
                <w:color w:val="000000"/>
                <w:sz w:val="19"/>
                <w:szCs w:val="17"/>
              </w:rPr>
              <w:t>Asociación Española contra el Cáncer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D9D9D9" w:fill="FFFFFF"/>
          </w:tcPr>
          <w:p w:rsidR="003274AF" w:rsidRPr="0057665F" w:rsidRDefault="003274AF" w:rsidP="00870CF5">
            <w:pPr>
              <w:pStyle w:val="Pa0"/>
              <w:rPr>
                <w:rFonts w:cs="Knowledge Medium"/>
                <w:bCs/>
                <w:color w:val="000000"/>
                <w:sz w:val="19"/>
                <w:szCs w:val="17"/>
              </w:rPr>
            </w:pPr>
            <w:r w:rsidRPr="0057665F">
              <w:rPr>
                <w:rFonts w:cs="Knowledge Medium"/>
                <w:bCs/>
                <w:color w:val="000000"/>
                <w:sz w:val="19"/>
                <w:szCs w:val="17"/>
              </w:rPr>
              <w:t>Programa de Formación Avanzada en Oncología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D9D9D9" w:fill="FFFFFF"/>
          </w:tcPr>
          <w:p w:rsidR="003274AF" w:rsidRPr="0057665F" w:rsidRDefault="003274AF" w:rsidP="0057665F">
            <w:pPr>
              <w:pStyle w:val="Pa0"/>
              <w:jc w:val="center"/>
              <w:rPr>
                <w:rFonts w:cs="Knowledge Medium"/>
                <w:bCs/>
                <w:color w:val="000000"/>
                <w:sz w:val="19"/>
                <w:szCs w:val="17"/>
              </w:rPr>
            </w:pPr>
            <w:r w:rsidRPr="0057665F">
              <w:rPr>
                <w:rFonts w:cs="Knowledge Medium"/>
                <w:bCs/>
                <w:color w:val="000000"/>
                <w:sz w:val="19"/>
                <w:szCs w:val="17"/>
              </w:rPr>
              <w:t>19/09/2012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D9D9D9" w:fill="FFFFFF"/>
          </w:tcPr>
          <w:p w:rsidR="003274AF" w:rsidRPr="00BD4229" w:rsidRDefault="003274AF" w:rsidP="00BD4229">
            <w:pPr>
              <w:pStyle w:val="Pa0"/>
              <w:jc w:val="center"/>
              <w:rPr>
                <w:rFonts w:cs="Knowledge Medium"/>
                <w:b/>
                <w:color w:val="7030A0"/>
                <w:sz w:val="19"/>
                <w:szCs w:val="17"/>
              </w:rPr>
            </w:pPr>
            <w:hyperlink r:id="rId6" w:tgtFrame="_blank" w:history="1">
              <w:r w:rsidRPr="00BD4229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  <w:p w:rsidR="003274AF" w:rsidRPr="00BD4229" w:rsidRDefault="003274AF" w:rsidP="00BD4229"/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D9D9D9" w:fill="FFFFFF"/>
          </w:tcPr>
          <w:p w:rsidR="003274AF" w:rsidRPr="00615538" w:rsidRDefault="003274AF" w:rsidP="00870CF5">
            <w:pPr>
              <w:pStyle w:val="Pa0"/>
              <w:rPr>
                <w:rStyle w:val="A7"/>
                <w:rFonts w:ascii="Arial" w:hAnsi="Arial" w:cs="Arial"/>
                <w:b/>
                <w:sz w:val="20"/>
                <w:szCs w:val="20"/>
              </w:rPr>
            </w:pPr>
            <w:r w:rsidRPr="00615538">
              <w:rPr>
                <w:rFonts w:ascii="Arial" w:hAnsi="Arial" w:cs="Arial"/>
                <w:color w:val="000000"/>
                <w:sz w:val="20"/>
                <w:szCs w:val="20"/>
              </w:rPr>
              <w:t>Para profesionales e investigadores de áreas relacionadas con la oncología, mínimo 5 años de experiencia. Financia formación de entre 3 meses y un año en un centro nacional o extranjero</w:t>
            </w:r>
          </w:p>
        </w:tc>
      </w:tr>
      <w:tr w:rsidR="003274AF" w:rsidTr="00B10B8C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FC5FD9" w:rsidRDefault="003274AF" w:rsidP="00870CF5">
            <w:pPr>
              <w:pStyle w:val="Pa0"/>
              <w:rPr>
                <w:rFonts w:cs="Knowledge Medium"/>
                <w:bCs/>
                <w:color w:val="000000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Fundación Lilly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FC5FD9" w:rsidRDefault="003274AF" w:rsidP="00870CF5">
            <w:pPr>
              <w:pStyle w:val="Pa0"/>
              <w:rPr>
                <w:rFonts w:cs="Knowledge Medium"/>
                <w:bCs/>
                <w:color w:val="000000"/>
                <w:sz w:val="19"/>
                <w:szCs w:val="17"/>
              </w:rPr>
            </w:pPr>
            <w:r>
              <w:rPr>
                <w:rFonts w:cs="Knowledge Medium"/>
                <w:bCs/>
                <w:color w:val="000000"/>
                <w:sz w:val="19"/>
                <w:szCs w:val="17"/>
              </w:rPr>
              <w:t>Premios MEDES-Medicina en Es</w:t>
            </w: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pañol 2012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FC5FD9" w:rsidRDefault="003274AF" w:rsidP="0057665F">
            <w:pPr>
              <w:pStyle w:val="Pa0"/>
              <w:jc w:val="center"/>
              <w:rPr>
                <w:rFonts w:cs="Knowledge Medium"/>
                <w:bCs/>
                <w:color w:val="000000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27/09/2012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FC5FD9" w:rsidRDefault="003274AF" w:rsidP="00FC5FD9">
            <w:pPr>
              <w:pStyle w:val="Pa0"/>
              <w:jc w:val="center"/>
              <w:rPr>
                <w:rStyle w:val="A7"/>
                <w:rFonts w:cs="Knowledge Medium"/>
                <w:b/>
                <w:color w:val="7030A0"/>
                <w:sz w:val="19"/>
                <w:szCs w:val="17"/>
              </w:rPr>
            </w:pPr>
            <w:hyperlink r:id="rId7" w:tgtFrame="_blank" w:history="1">
              <w:r w:rsidRPr="00FC5FD9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FFFFFF" w:fill="FFFFFF"/>
          </w:tcPr>
          <w:p w:rsidR="003274AF" w:rsidRPr="00615538" w:rsidRDefault="003274AF" w:rsidP="00615538">
            <w:pPr>
              <w:pStyle w:val="Pa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55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a)Premio a la mejor INICIATIVA en el fomento del uso del idioma español para la divulgación del conocimiento médico.</w:t>
            </w:r>
          </w:p>
          <w:p w:rsidR="003274AF" w:rsidRPr="00615538" w:rsidRDefault="003274AF" w:rsidP="00615538">
            <w:pPr>
              <w:jc w:val="both"/>
            </w:pPr>
            <w:r w:rsidRPr="00615538">
              <w:rPr>
                <w:rFonts w:ascii="Arial" w:hAnsi="Arial" w:cs="Arial"/>
                <w:bCs/>
                <w:sz w:val="20"/>
                <w:szCs w:val="20"/>
              </w:rPr>
              <w:t>b)Premio a la mejor INSTITUCIÓN destacada en la promoción y difusión de la publicación biomédica en español.</w:t>
            </w:r>
          </w:p>
        </w:tc>
      </w:tr>
      <w:tr w:rsidR="003274AF" w:rsidTr="00B10B8C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FC5FD9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Federación Española de Fibrosis Quística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FC5FD9" w:rsidRDefault="003274AF" w:rsidP="00870CF5">
            <w:pPr>
              <w:pStyle w:val="Pa0"/>
              <w:rPr>
                <w:rStyle w:val="A7"/>
                <w:rFonts w:cs="Knowledge Medium"/>
                <w:color w:val="auto"/>
                <w:sz w:val="19"/>
                <w:szCs w:val="17"/>
              </w:rPr>
            </w:pPr>
            <w:r w:rsidRPr="00FC5FD9">
              <w:rPr>
                <w:rFonts w:cs="Knowledge Medium"/>
                <w:bCs/>
                <w:sz w:val="19"/>
                <w:szCs w:val="17"/>
              </w:rPr>
              <w:t>Convocatoria de Beca de Investigación “Pablo Motos” 2012 sobre Fibrosis Quística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FC5FD9" w:rsidRDefault="003274AF" w:rsidP="0057665F">
            <w:pPr>
              <w:pStyle w:val="Pa0"/>
              <w:jc w:val="center"/>
              <w:rPr>
                <w:rStyle w:val="A7"/>
                <w:rFonts w:cs="Knowledge Medium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30/09/2012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FC5FD9" w:rsidRDefault="003274AF" w:rsidP="00FC5FD9">
            <w:pPr>
              <w:pStyle w:val="Pa0"/>
              <w:jc w:val="center"/>
              <w:rPr>
                <w:rStyle w:val="A7"/>
                <w:rFonts w:cs="Knowledge Medium"/>
                <w:b/>
                <w:color w:val="7030A0"/>
                <w:sz w:val="19"/>
                <w:szCs w:val="17"/>
              </w:rPr>
            </w:pPr>
            <w:hyperlink r:id="rId8" w:tgtFrame="_blank" w:history="1">
              <w:r w:rsidRPr="00FC5FD9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C0C0C0" w:fill="FFFFFF"/>
          </w:tcPr>
          <w:p w:rsidR="003274AF" w:rsidRPr="00615538" w:rsidRDefault="003274AF" w:rsidP="006155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5538">
              <w:rPr>
                <w:rFonts w:ascii="Arial" w:hAnsi="Arial" w:cs="Arial"/>
                <w:sz w:val="20"/>
                <w:szCs w:val="20"/>
              </w:rPr>
              <w:t>Serán valorados de forma especial todo proyecto que aporte innovaciones al diagnóstico y</w:t>
            </w:r>
          </w:p>
          <w:p w:rsidR="003274AF" w:rsidRPr="00615538" w:rsidRDefault="003274AF" w:rsidP="006155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5538">
              <w:rPr>
                <w:rFonts w:ascii="Arial" w:hAnsi="Arial" w:cs="Arial"/>
                <w:sz w:val="20"/>
                <w:szCs w:val="20"/>
              </w:rPr>
              <w:t xml:space="preserve">tratamiento de </w:t>
            </w:r>
            <w:smartTag w:uri="urn:schemas-microsoft-com:office:smarttags" w:element="PersonName">
              <w:smartTagPr>
                <w:attr w:name="ProductID" w:val="la Fibrosis Quística"/>
              </w:smartTagPr>
              <w:r w:rsidRPr="00615538">
                <w:rPr>
                  <w:rFonts w:ascii="Arial" w:hAnsi="Arial" w:cs="Arial"/>
                  <w:sz w:val="20"/>
                  <w:szCs w:val="20"/>
                </w:rPr>
                <w:t>la Fibrosis Quística</w:t>
              </w:r>
            </w:smartTag>
            <w:r w:rsidRPr="00615538">
              <w:rPr>
                <w:rFonts w:ascii="Arial" w:hAnsi="Arial" w:cs="Arial"/>
                <w:sz w:val="20"/>
                <w:szCs w:val="20"/>
              </w:rPr>
              <w:t>, que tenga carácter multicentrico y que se presenten con</w:t>
            </w:r>
          </w:p>
          <w:p w:rsidR="003274AF" w:rsidRDefault="003274AF" w:rsidP="00615538">
            <w:pPr>
              <w:pStyle w:val="Pa0"/>
              <w:rPr>
                <w:rStyle w:val="A7"/>
                <w:rFonts w:cs="Knowledge Medium"/>
                <w:b/>
                <w:sz w:val="19"/>
                <w:szCs w:val="17"/>
              </w:rPr>
            </w:pPr>
            <w:r w:rsidRPr="00615538">
              <w:rPr>
                <w:rFonts w:ascii="Arial" w:hAnsi="Arial" w:cs="Arial"/>
                <w:sz w:val="20"/>
                <w:szCs w:val="20"/>
              </w:rPr>
              <w:t>cofinanciación de otras entidades públicas o privadas</w:t>
            </w:r>
          </w:p>
        </w:tc>
      </w:tr>
      <w:tr w:rsidR="003274AF" w:rsidTr="00B10B8C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FC5FD9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Fundación Mapfre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FC5FD9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"Ayudas a la investigación 2012” 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FC5FD9" w:rsidRDefault="003274AF" w:rsidP="00B10B8C">
            <w:pPr>
              <w:pStyle w:val="Pa0"/>
              <w:jc w:val="center"/>
              <w:rPr>
                <w:rStyle w:val="A7"/>
                <w:rFonts w:cs="Knowledge Medium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11/10/2012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FC5FD9" w:rsidRDefault="003274AF" w:rsidP="00FC5FD9">
            <w:pPr>
              <w:pStyle w:val="Pa0"/>
              <w:jc w:val="center"/>
              <w:rPr>
                <w:rStyle w:val="A7"/>
                <w:rFonts w:cs="Knowledge Medium"/>
                <w:b/>
                <w:color w:val="7030A0"/>
                <w:sz w:val="19"/>
                <w:szCs w:val="17"/>
              </w:rPr>
            </w:pPr>
            <w:hyperlink r:id="rId9" w:tgtFrame="_blank" w:history="1">
              <w:r w:rsidRPr="00FC5FD9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FFFFFF" w:fill="FFFFFF"/>
          </w:tcPr>
          <w:p w:rsidR="003274AF" w:rsidRPr="00615538" w:rsidRDefault="003274AF" w:rsidP="00870CF5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615538">
              <w:rPr>
                <w:rStyle w:val="A7"/>
                <w:rFonts w:ascii="Arial" w:hAnsi="Arial" w:cs="Arial"/>
                <w:sz w:val="20"/>
                <w:szCs w:val="20"/>
              </w:rPr>
              <w:t xml:space="preserve">Convocan 75 ayudas, 45 de ellas para proyectos de salud, y entre ellos se valorarán los relacionados con </w:t>
            </w:r>
            <w:r w:rsidRPr="00615538">
              <w:rPr>
                <w:rFonts w:ascii="Arial" w:hAnsi="Arial" w:cs="Arial"/>
                <w:sz w:val="20"/>
                <w:szCs w:val="20"/>
              </w:rPr>
              <w:t>Gestión sanitaria: calidad y seguridad clínica</w:t>
            </w:r>
          </w:p>
        </w:tc>
      </w:tr>
      <w:tr w:rsidR="003274AF" w:rsidTr="00B10B8C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FC5FD9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Fundación Carmen y Severo Ochoa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FC5FD9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>
              <w:rPr>
                <w:rFonts w:cs="Knowledge Medium"/>
                <w:bCs/>
                <w:color w:val="000000"/>
                <w:sz w:val="19"/>
                <w:szCs w:val="17"/>
              </w:rPr>
              <w:t>18º Premio Carmen y Severo O</w:t>
            </w: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choa de investigación en biología molecular 2012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FC5FD9" w:rsidRDefault="003274AF" w:rsidP="00FC5FD9">
            <w:pPr>
              <w:pStyle w:val="Pa0"/>
              <w:jc w:val="center"/>
              <w:rPr>
                <w:rStyle w:val="A7"/>
                <w:rFonts w:cs="Knowledge Medium"/>
                <w:sz w:val="19"/>
                <w:szCs w:val="17"/>
              </w:rPr>
            </w:pPr>
            <w:r w:rsidRPr="00FC5FD9">
              <w:rPr>
                <w:rFonts w:cs="Knowledge Medium"/>
                <w:bCs/>
                <w:color w:val="000000"/>
                <w:sz w:val="19"/>
                <w:szCs w:val="17"/>
              </w:rPr>
              <w:t>15/10/2012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FC5FD9" w:rsidRDefault="003274AF" w:rsidP="00FC5FD9">
            <w:pPr>
              <w:pStyle w:val="Pa0"/>
              <w:jc w:val="center"/>
              <w:rPr>
                <w:rStyle w:val="A7"/>
                <w:rFonts w:cs="Knowledge Medium"/>
                <w:b/>
                <w:color w:val="7030A0"/>
                <w:sz w:val="19"/>
                <w:szCs w:val="17"/>
              </w:rPr>
            </w:pPr>
            <w:hyperlink r:id="rId10" w:tgtFrame="_blank" w:history="1">
              <w:r w:rsidRPr="00FC5FD9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C0C0C0" w:fill="FFFFFF"/>
          </w:tcPr>
          <w:p w:rsidR="003274AF" w:rsidRPr="003E1A47" w:rsidRDefault="003274AF" w:rsidP="003E1A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A47">
              <w:rPr>
                <w:rFonts w:ascii="Arial" w:hAnsi="Arial" w:cs="Arial"/>
                <w:sz w:val="20"/>
                <w:szCs w:val="20"/>
              </w:rPr>
              <w:t>tendrá en cuenta el valor científico</w:t>
            </w:r>
          </w:p>
          <w:p w:rsidR="003274AF" w:rsidRPr="003E1A47" w:rsidRDefault="003274AF" w:rsidP="003E1A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A47">
              <w:rPr>
                <w:rFonts w:ascii="Arial" w:hAnsi="Arial" w:cs="Arial"/>
                <w:sz w:val="20"/>
                <w:szCs w:val="20"/>
              </w:rPr>
              <w:t>del trabajo de investigación en los últimos 5 años en el contexto de los avances actuales, así como el conjunto de la labor</w:t>
            </w:r>
          </w:p>
          <w:p w:rsidR="003274AF" w:rsidRDefault="003274AF" w:rsidP="003E1A47">
            <w:pPr>
              <w:pStyle w:val="Pa0"/>
              <w:rPr>
                <w:rStyle w:val="A7"/>
                <w:rFonts w:cs="Knowledge Medium"/>
                <w:b/>
                <w:sz w:val="19"/>
                <w:szCs w:val="17"/>
              </w:rPr>
            </w:pPr>
            <w:r w:rsidRPr="003E1A47">
              <w:rPr>
                <w:rFonts w:ascii="Arial" w:hAnsi="Arial" w:cs="Arial"/>
                <w:sz w:val="20"/>
                <w:szCs w:val="20"/>
              </w:rPr>
              <w:t>investigadora de la persona premiada</w:t>
            </w:r>
          </w:p>
        </w:tc>
      </w:tr>
      <w:tr w:rsidR="003274AF" w:rsidTr="00B10B8C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7A2446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Esteve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7A2446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7A2446">
              <w:rPr>
                <w:rFonts w:cs="Knowledge Medium"/>
                <w:bCs/>
                <w:iCs/>
                <w:color w:val="000000"/>
                <w:sz w:val="19"/>
                <w:szCs w:val="17"/>
              </w:rPr>
              <w:t xml:space="preserve">V Edición de Premios ESTEVE “Unidos por </w:t>
            </w:r>
            <w:smartTag w:uri="urn:schemas-microsoft-com:office:smarttags" w:element="PersonName">
              <w:smartTagPr>
                <w:attr w:name="ProductID" w:val="la Atención"/>
              </w:smartTagPr>
              <w:r w:rsidRPr="007A2446">
                <w:rPr>
                  <w:rFonts w:cs="Knowledge Medium"/>
                  <w:bCs/>
                  <w:iCs/>
                  <w:color w:val="000000"/>
                  <w:sz w:val="19"/>
                  <w:szCs w:val="17"/>
                </w:rPr>
                <w:t>la Atención</w:t>
              </w:r>
            </w:smartTag>
            <w:r w:rsidRPr="007A2446">
              <w:rPr>
                <w:rFonts w:cs="Knowledge Medium"/>
                <w:bCs/>
                <w:iCs/>
                <w:color w:val="000000"/>
                <w:sz w:val="19"/>
                <w:szCs w:val="17"/>
              </w:rPr>
              <w:t xml:space="preserve"> al Paciente”</w:t>
            </w: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.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7A2446" w:rsidRDefault="003274AF" w:rsidP="007A2446">
            <w:pPr>
              <w:pStyle w:val="Pa0"/>
              <w:jc w:val="center"/>
              <w:rPr>
                <w:rStyle w:val="A7"/>
                <w:rFonts w:cs="Knowledge Medium"/>
                <w:sz w:val="19"/>
                <w:szCs w:val="17"/>
              </w:rPr>
            </w:pP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15/10/2012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7A2446" w:rsidRDefault="003274AF" w:rsidP="007A2446">
            <w:pPr>
              <w:pStyle w:val="Pa0"/>
              <w:jc w:val="center"/>
              <w:rPr>
                <w:rStyle w:val="A7"/>
                <w:rFonts w:cs="Knowledge Medium"/>
                <w:b/>
                <w:color w:val="7030A0"/>
                <w:sz w:val="19"/>
                <w:szCs w:val="17"/>
              </w:rPr>
            </w:pPr>
            <w:hyperlink r:id="rId11" w:tgtFrame="_blank" w:history="1">
              <w:r w:rsidRPr="007A2446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FFFFFF" w:fill="FFFFFF"/>
          </w:tcPr>
          <w:p w:rsidR="003274AF" w:rsidRPr="003E1A47" w:rsidRDefault="003274AF" w:rsidP="003E1A47">
            <w:pPr>
              <w:pStyle w:val="Pa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1A47">
              <w:rPr>
                <w:rFonts w:ascii="Arial" w:hAnsi="Arial" w:cs="Arial"/>
                <w:color w:val="000000"/>
                <w:sz w:val="20"/>
                <w:szCs w:val="20"/>
              </w:rPr>
              <w:t>Premia a aquellos profesionales cuyos objetivos se centran en el trabajo diario para mejorar la atención a sus pacientes.</w:t>
            </w:r>
          </w:p>
          <w:p w:rsidR="003274AF" w:rsidRDefault="003274AF" w:rsidP="00870CF5">
            <w:pPr>
              <w:pStyle w:val="Pa0"/>
              <w:rPr>
                <w:rStyle w:val="A7"/>
                <w:rFonts w:cs="Knowledge Medium"/>
                <w:b/>
                <w:sz w:val="19"/>
                <w:szCs w:val="17"/>
              </w:rPr>
            </w:pPr>
          </w:p>
        </w:tc>
      </w:tr>
      <w:tr w:rsidR="003274AF" w:rsidTr="00BD4229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7A2446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Fundación Valdés Salas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7A2446" w:rsidRDefault="003274AF" w:rsidP="00870CF5">
            <w:pPr>
              <w:pStyle w:val="Pa0"/>
              <w:rPr>
                <w:rStyle w:val="A7"/>
                <w:rFonts w:cs="Knowledge Medium"/>
                <w:sz w:val="19"/>
                <w:szCs w:val="17"/>
              </w:rPr>
            </w:pPr>
            <w:r w:rsidRPr="007A2446">
              <w:rPr>
                <w:rFonts w:cs="Knowledge Medium"/>
                <w:b/>
                <w:bCs/>
                <w:color w:val="000000"/>
                <w:sz w:val="19"/>
                <w:szCs w:val="17"/>
              </w:rPr>
              <w:t> </w:t>
            </w: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 xml:space="preserve">II </w:t>
            </w:r>
            <w:r>
              <w:rPr>
                <w:rFonts w:cs="Knowledge Medium"/>
                <w:bCs/>
                <w:color w:val="000000"/>
                <w:sz w:val="19"/>
                <w:szCs w:val="17"/>
              </w:rPr>
              <w:t>Premio B</w:t>
            </w: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iomedicina aplicada VALDÉS-SALAS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7A2446" w:rsidRDefault="003274AF" w:rsidP="007A2446">
            <w:pPr>
              <w:pStyle w:val="Pa0"/>
              <w:jc w:val="center"/>
              <w:rPr>
                <w:rStyle w:val="A7"/>
                <w:rFonts w:cs="Knowledge Medium"/>
                <w:sz w:val="19"/>
                <w:szCs w:val="17"/>
              </w:rPr>
            </w:pP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31/10/2012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C0C0C0" w:fill="FFFFFF"/>
          </w:tcPr>
          <w:p w:rsidR="003274AF" w:rsidRPr="007A2446" w:rsidRDefault="003274AF" w:rsidP="007A2446">
            <w:pPr>
              <w:pStyle w:val="Pa0"/>
              <w:jc w:val="center"/>
              <w:rPr>
                <w:rStyle w:val="A7"/>
                <w:rFonts w:cs="Knowledge Medium"/>
                <w:b/>
                <w:color w:val="7030A0"/>
                <w:sz w:val="19"/>
                <w:szCs w:val="17"/>
              </w:rPr>
            </w:pPr>
            <w:hyperlink r:id="rId12" w:tgtFrame="_blank" w:history="1">
              <w:r w:rsidRPr="007A2446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C0C0C0" w:fill="FFFFFF"/>
          </w:tcPr>
          <w:p w:rsidR="003274AF" w:rsidRPr="003E1A47" w:rsidRDefault="003274AF" w:rsidP="00870CF5">
            <w:pPr>
              <w:pStyle w:val="Pa0"/>
              <w:rPr>
                <w:rStyle w:val="A7"/>
                <w:rFonts w:ascii="Arial" w:hAnsi="Arial" w:cs="Arial"/>
                <w:sz w:val="20"/>
                <w:szCs w:val="20"/>
              </w:rPr>
            </w:pPr>
            <w:r w:rsidRPr="003E1A47">
              <w:rPr>
                <w:rStyle w:val="A7"/>
                <w:rFonts w:ascii="Arial" w:hAnsi="Arial" w:cs="Arial"/>
                <w:sz w:val="20"/>
                <w:szCs w:val="20"/>
              </w:rPr>
              <w:t xml:space="preserve">Hace </w:t>
            </w:r>
            <w:r w:rsidRPr="003E1A47">
              <w:rPr>
                <w:rFonts w:ascii="Arial" w:hAnsi="Arial" w:cs="Arial"/>
                <w:sz w:val="20"/>
                <w:szCs w:val="20"/>
              </w:rPr>
              <w:t xml:space="preserve">hincapié en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3E1A47">
              <w:rPr>
                <w:rFonts w:ascii="Arial" w:hAnsi="Arial" w:cs="Arial"/>
                <w:sz w:val="20"/>
                <w:szCs w:val="20"/>
              </w:rPr>
              <w:t xml:space="preserve">impacto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investigación </w:t>
            </w:r>
            <w:r w:rsidRPr="003E1A47">
              <w:rPr>
                <w:rFonts w:ascii="Arial" w:hAnsi="Arial" w:cs="Arial"/>
                <w:sz w:val="20"/>
                <w:szCs w:val="20"/>
              </w:rPr>
              <w:t>en el sector empresarial o tecnológico</w:t>
            </w:r>
          </w:p>
        </w:tc>
      </w:tr>
      <w:tr w:rsidR="003274AF" w:rsidTr="00BD4229">
        <w:trPr>
          <w:trHeight w:val="453"/>
        </w:trPr>
        <w:tc>
          <w:tcPr>
            <w:tcW w:w="2253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7A2446" w:rsidRDefault="003274AF" w:rsidP="00870CF5">
            <w:pPr>
              <w:pStyle w:val="Pa0"/>
              <w:rPr>
                <w:rFonts w:cs="Knowledge Medium"/>
                <w:bCs/>
                <w:color w:val="000000"/>
                <w:sz w:val="19"/>
                <w:szCs w:val="17"/>
              </w:rPr>
            </w:pPr>
            <w:r w:rsidRPr="007A2446">
              <w:rPr>
                <w:rFonts w:cs="Knowledge Medium"/>
                <w:b/>
                <w:bCs/>
                <w:color w:val="000000"/>
                <w:sz w:val="19"/>
                <w:szCs w:val="17"/>
              </w:rPr>
              <w:t> </w:t>
            </w: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Centro de Información Cerveza y Salud </w:t>
            </w:r>
          </w:p>
        </w:tc>
        <w:tc>
          <w:tcPr>
            <w:tcW w:w="2355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7A2446" w:rsidRDefault="003274AF" w:rsidP="00870CF5">
            <w:pPr>
              <w:pStyle w:val="Pa0"/>
              <w:rPr>
                <w:rFonts w:cs="Knowledge Medium"/>
                <w:bCs/>
                <w:color w:val="000000"/>
                <w:sz w:val="19"/>
                <w:szCs w:val="17"/>
              </w:rPr>
            </w:pP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Becas Manuel de Oya</w:t>
            </w:r>
          </w:p>
        </w:tc>
        <w:tc>
          <w:tcPr>
            <w:tcW w:w="180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7A2446" w:rsidRDefault="003274AF" w:rsidP="007A2446">
            <w:pPr>
              <w:pStyle w:val="Pa0"/>
              <w:jc w:val="center"/>
              <w:rPr>
                <w:rFonts w:cs="Knowledge Medium"/>
                <w:bCs/>
                <w:color w:val="000000"/>
                <w:sz w:val="19"/>
                <w:szCs w:val="17"/>
              </w:rPr>
            </w:pPr>
            <w:r w:rsidRPr="007A2446">
              <w:rPr>
                <w:rFonts w:cs="Knowledge Medium"/>
                <w:bCs/>
                <w:color w:val="000000"/>
                <w:sz w:val="19"/>
                <w:szCs w:val="17"/>
              </w:rPr>
              <w:t>09/11/2012</w:t>
            </w:r>
          </w:p>
        </w:tc>
        <w:tc>
          <w:tcPr>
            <w:tcW w:w="1620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6" w:space="0" w:color="008080"/>
            </w:tcBorders>
            <w:shd w:val="solid" w:color="FFFFFF" w:fill="FFFFFF"/>
          </w:tcPr>
          <w:p w:rsidR="003274AF" w:rsidRPr="007A2446" w:rsidRDefault="003274AF" w:rsidP="007A2446">
            <w:pPr>
              <w:pStyle w:val="Pa0"/>
              <w:jc w:val="center"/>
              <w:rPr>
                <w:rStyle w:val="A7"/>
                <w:rFonts w:cs="Knowledge Medium"/>
                <w:b/>
                <w:color w:val="7030A0"/>
                <w:sz w:val="19"/>
                <w:szCs w:val="17"/>
              </w:rPr>
            </w:pPr>
            <w:hyperlink r:id="rId13" w:tgtFrame="_blank" w:history="1">
              <w:r w:rsidRPr="007A2446">
                <w:rPr>
                  <w:rStyle w:val="Hyperlink"/>
                  <w:rFonts w:cs="Knowledge Medium"/>
                  <w:b/>
                  <w:bCs/>
                  <w:color w:val="7030A0"/>
                  <w:sz w:val="19"/>
                  <w:szCs w:val="17"/>
                </w:rPr>
                <w:t>Bases</w:t>
              </w:r>
            </w:hyperlink>
          </w:p>
        </w:tc>
        <w:tc>
          <w:tcPr>
            <w:tcW w:w="2072" w:type="dxa"/>
            <w:tcBorders>
              <w:top w:val="single" w:sz="18" w:space="0" w:color="008080"/>
              <w:left w:val="single" w:sz="6" w:space="0" w:color="008080"/>
              <w:bottom w:val="single" w:sz="18" w:space="0" w:color="008080"/>
              <w:right w:val="single" w:sz="18" w:space="0" w:color="008080"/>
            </w:tcBorders>
            <w:shd w:val="solid" w:color="FFFFFF" w:fill="FFFFFF"/>
          </w:tcPr>
          <w:p w:rsidR="003274AF" w:rsidRPr="00EB21A5" w:rsidRDefault="003274AF" w:rsidP="003E1A47">
            <w:pPr>
              <w:pStyle w:val="Pa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1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Beca para investigaciones sobre el consumo moderado de cerveza y su relación con la salud y la nutrición</w:t>
            </w:r>
          </w:p>
          <w:p w:rsidR="003274AF" w:rsidRPr="00A142D1" w:rsidRDefault="003274AF" w:rsidP="00870CF5">
            <w:pPr>
              <w:pStyle w:val="Pa0"/>
              <w:rPr>
                <w:rStyle w:val="A7"/>
                <w:rFonts w:cs="Knowledge Medium"/>
                <w:b/>
                <w:color w:val="auto"/>
                <w:sz w:val="18"/>
                <w:szCs w:val="18"/>
              </w:rPr>
            </w:pPr>
            <w:r w:rsidRPr="00A142D1">
              <w:rPr>
                <w:rFonts w:ascii="Arial" w:hAnsi="Arial" w:cs="Arial"/>
                <w:sz w:val="18"/>
                <w:szCs w:val="18"/>
              </w:rPr>
              <w:t>Dirigida estudiantes de último curso de licenciatura o de un curso de así como para los ya licenciados o titulados superiores nacidos después del 1 de enero de 1982.</w:t>
            </w:r>
          </w:p>
        </w:tc>
      </w:tr>
    </w:tbl>
    <w:p w:rsidR="003274AF" w:rsidRDefault="003274AF"/>
    <w:sectPr w:rsidR="003274AF" w:rsidSect="006D3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nowledge Medium">
    <w:altName w:val="Knowledg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61D2"/>
    <w:multiLevelType w:val="multilevel"/>
    <w:tmpl w:val="F762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3646C"/>
    <w:multiLevelType w:val="multilevel"/>
    <w:tmpl w:val="C09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F52"/>
    <w:rsid w:val="000135C2"/>
    <w:rsid w:val="001312A5"/>
    <w:rsid w:val="0018589C"/>
    <w:rsid w:val="003274AF"/>
    <w:rsid w:val="003E1A47"/>
    <w:rsid w:val="004809E9"/>
    <w:rsid w:val="0057665F"/>
    <w:rsid w:val="00611772"/>
    <w:rsid w:val="00615538"/>
    <w:rsid w:val="006D3F52"/>
    <w:rsid w:val="00740298"/>
    <w:rsid w:val="007A2446"/>
    <w:rsid w:val="00870CF5"/>
    <w:rsid w:val="008E4FDA"/>
    <w:rsid w:val="00984DAF"/>
    <w:rsid w:val="00A142D1"/>
    <w:rsid w:val="00B10B8C"/>
    <w:rsid w:val="00BD4229"/>
    <w:rsid w:val="00BD7D70"/>
    <w:rsid w:val="00CA6321"/>
    <w:rsid w:val="00D04269"/>
    <w:rsid w:val="00E75B86"/>
    <w:rsid w:val="00E8249F"/>
    <w:rsid w:val="00EB21A5"/>
    <w:rsid w:val="00FC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5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3F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rsid w:val="006D3F52"/>
    <w:pPr>
      <w:autoSpaceDE w:val="0"/>
      <w:autoSpaceDN w:val="0"/>
      <w:adjustRightInd w:val="0"/>
      <w:spacing w:line="241" w:lineRule="atLeast"/>
    </w:pPr>
    <w:rPr>
      <w:rFonts w:ascii="Knowledge Medium" w:hAnsi="Knowledge Medium"/>
    </w:rPr>
  </w:style>
  <w:style w:type="character" w:customStyle="1" w:styleId="A7">
    <w:name w:val="A7"/>
    <w:uiPriority w:val="99"/>
    <w:rsid w:val="006D3F52"/>
    <w:rPr>
      <w:rFonts w:ascii="Knowledge Medium" w:hAnsi="Knowledge Medium"/>
      <w:color w:val="000000"/>
      <w:sz w:val="17"/>
    </w:rPr>
  </w:style>
  <w:style w:type="character" w:styleId="Hyperlink">
    <w:name w:val="Hyperlink"/>
    <w:basedOn w:val="DefaultParagraphFont"/>
    <w:uiPriority w:val="99"/>
    <w:rsid w:val="00BD422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D422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307">
              <w:marLeft w:val="24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230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2308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17">
          <w:marLeft w:val="0"/>
          <w:marRight w:val="0"/>
          <w:marTop w:val="100"/>
          <w:marBottom w:val="100"/>
          <w:divBdr>
            <w:top w:val="single" w:sz="2" w:space="0" w:color="FFFFFF"/>
            <w:left w:val="single" w:sz="36" w:space="0" w:color="FFFFFF"/>
            <w:bottom w:val="single" w:sz="2" w:space="0" w:color="FFFFFF"/>
            <w:right w:val="single" w:sz="36" w:space="0" w:color="FFFFFF"/>
          </w:divBdr>
          <w:divsChild>
            <w:div w:id="20683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11">
          <w:marLeft w:val="0"/>
          <w:marRight w:val="0"/>
          <w:marTop w:val="100"/>
          <w:marBottom w:val="100"/>
          <w:divBdr>
            <w:top w:val="single" w:sz="2" w:space="0" w:color="FFFFFF"/>
            <w:left w:val="single" w:sz="36" w:space="0" w:color="FFFFFF"/>
            <w:bottom w:val="single" w:sz="2" w:space="0" w:color="FFFFFF"/>
            <w:right w:val="single" w:sz="36" w:space="0" w:color="FFFFFF"/>
          </w:divBdr>
          <w:divsChild>
            <w:div w:id="20683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310">
              <w:marLeft w:val="24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23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231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rosisquistica.org/images/recursos/168.pdf" TargetMode="External"/><Relationship Id="rId13" Type="http://schemas.openxmlformats.org/officeDocument/2006/relationships/hyperlink" Target="http://www.cervezaysalud.es/act_calendario_detalle.php?id=126&amp;vengo_de_hom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acionlilly.com/Nitro/foundation/templates/lines.jsp?page=31240" TargetMode="External"/><Relationship Id="rId12" Type="http://schemas.openxmlformats.org/officeDocument/2006/relationships/hyperlink" Target="http://www.fundacionvaldessalas.es/premios/premio/-/asset_publisher/jQC9/content/ii-premio-en-biomedicina-aplicada?redirect=%2Fprem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cc.es/Investigacion/Fundaci%C3%B3n%20Cient%C3%ADfica/Paginas/Convocatoriasabiertas.aspx" TargetMode="External"/><Relationship Id="rId11" Type="http://schemas.openxmlformats.org/officeDocument/2006/relationships/hyperlink" Target="http://www.esteve.es/EsteveFront/CargarPagina.do?pagina=est_premios.jsp&amp;div=est" TargetMode="External"/><Relationship Id="rId5" Type="http://schemas.openxmlformats.org/officeDocument/2006/relationships/hyperlink" Target="http://www.seimc.org/becas/SEIMC-SCMIMC-Pumarola-base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ebbm.es/archivos_tinymce/convocatoria_18%C2%BA_premio_2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pfre.com/fundacion/es/conocenos/ayudas-investigacion-2012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538</Words>
  <Characters>2959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 FINANCIADORA</dc:title>
  <dc:subject/>
  <dc:creator>Administrador</dc:creator>
  <cp:keywords/>
  <dc:description/>
  <cp:lastModifiedBy>mlamdia</cp:lastModifiedBy>
  <cp:revision>5</cp:revision>
  <dcterms:created xsi:type="dcterms:W3CDTF">2012-09-05T16:31:00Z</dcterms:created>
  <dcterms:modified xsi:type="dcterms:W3CDTF">2012-09-05T16:51:00Z</dcterms:modified>
</cp:coreProperties>
</file>